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10DF4BF" w:rsidR="005D32B3" w:rsidRPr="001D5547" w:rsidRDefault="00476CEE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Pr="00476CE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391299DD" w:rsidR="00216BE4" w:rsidRDefault="00476CEE" w:rsidP="00476CE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476CE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and Indonesian natural rubber supplier sign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MOU and hold event for natural rubber farme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rs</w:t>
      </w:r>
    </w:p>
    <w:p w14:paraId="19A59345" w14:textId="77777777" w:rsidR="00476CEE" w:rsidRPr="00E45B6E" w:rsidRDefault="00476CEE" w:rsidP="00476CE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53C6E723" w14:textId="07ACF20A" w:rsidR="00476CEE" w:rsidRDefault="004637A4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announced today that on 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>1</w:t>
      </w:r>
      <w:r w:rsidR="00112B67" w:rsidRPr="00112B6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December 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>2022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it signed a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Memorandum of Understanding (MOU) with PT Kirana Megatara Tbk, a major natural rubber supplier in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Indonesia, to cooperate in efforts to provide economic support for Indonesian natural rubber farmers and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to improve traceability to ensure transparency and soundness of the natural rubber supply chain. The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MOU with Kirana Megatara is the latest concrete action taken under </w:t>
      </w:r>
      <w:r w:rsidR="009A342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’s “Procurement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Policy for Sustainable Natural Rubber.” In conjunction with the signing of the MOU, the two companies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76CEE" w:rsidRPr="00476CEE">
        <w:rPr>
          <w:rStyle w:val="markedcontent"/>
          <w:rFonts w:ascii="Arial" w:hAnsi="Arial" w:cs="Arial"/>
          <w:sz w:val="22"/>
          <w:szCs w:val="22"/>
          <w:lang w:val="en-GB"/>
        </w:rPr>
        <w:t>held a seminar event targeted at improving the quality and productivity of natural rubber in Indonesia.</w:t>
      </w:r>
    </w:p>
    <w:p w14:paraId="758776A6" w14:textId="77777777" w:rsidR="00112B67" w:rsidRPr="00476CEE" w:rsidRDefault="00112B67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3A6A9D3" w14:textId="2393039A" w:rsidR="00476CEE" w:rsidRPr="00476CEE" w:rsidRDefault="00476CEE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The event, attended by about 50 small-scale farmers affiliated with Kirana Megatara and local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government officials, featured a tapping</w:t>
      </w:r>
      <w:r w:rsidRPr="00112B67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contest and a quiz on agricultural technology. The farmers</w:t>
      </w:r>
      <w:r w:rsidR="00112B6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attending the event received a complementary supply of fertilizer and natural rubber coagulants.</w:t>
      </w:r>
    </w:p>
    <w:p w14:paraId="3BCDF552" w14:textId="77777777" w:rsidR="00476CEE" w:rsidRPr="00112B67" w:rsidRDefault="00476CEE" w:rsidP="00476CEE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12B6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*1 Scratching the bark of a Para rubber tree to extract latex sap, which contains natural rubber.</w:t>
      </w:r>
    </w:p>
    <w:p w14:paraId="4FF42F2B" w14:textId="77777777" w:rsidR="00112B67" w:rsidRDefault="00112B67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7A357A6" w14:textId="62FF53D5" w:rsidR="00921FB2" w:rsidRPr="00476CEE" w:rsidRDefault="00476CEE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Demand for t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res and consequently natural rubber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the core raw material used in t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re production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has been expanding steadily as the world’s population grows and mobility technologies become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more advanced. However, this growth in demand has raised concerns about a host of problems,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including unlawful deforestation, land exploitation, human rights violations, and adverse effects on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biodiversity, in countries and regions where natural rubber is produced. To help resolve these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problems, </w:t>
      </w:r>
      <w:r w:rsidR="007D0730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been participating since 2017 in the Sustainable Natural Rubber</w:t>
      </w:r>
      <w:r w:rsidR="00921FB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Initiative (SNR-i) advocated by the International Rubber Study Group</w:t>
      </w:r>
      <w:r w:rsidRPr="00921FB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. In addition, the company has</w:t>
      </w:r>
      <w:r w:rsidR="00921FB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been an active founding member of the Global Platform for Sustainable Natural Rubber (GPSNR)</w:t>
      </w:r>
      <w:r w:rsidR="00921FB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since its launch in 2018 and has been strengthening its collaborations with GPSNR activities since</w:t>
      </w:r>
      <w:r w:rsidR="00921FB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revising its “Procurement Policy for Sustainable Natural Rubber” in 2021.</w:t>
      </w:r>
    </w:p>
    <w:p w14:paraId="3FBCDB2D" w14:textId="373AD429" w:rsidR="00476CEE" w:rsidRPr="00921FB2" w:rsidRDefault="00476CEE" w:rsidP="00476CEE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921FB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*2 An intergovernmental organization comprising governments of countries engaged in the production and consumption of</w:t>
      </w:r>
      <w:r w:rsidR="00921FB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921FB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natural and synthetic rubber</w:t>
      </w:r>
    </w:p>
    <w:p w14:paraId="394145F0" w14:textId="77777777" w:rsidR="00921FB2" w:rsidRDefault="00921FB2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4CA67A2" w14:textId="77777777" w:rsidR="001F6392" w:rsidRDefault="00476CEE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921FB2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previously signed a similar MOU with the Rubber Authority of Thailand (RAOT),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and the two partners continue to work together to support natural rubber farmers in Thailand.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YOKOHAMA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engaged in many other activities targeted at realizing the sustainability of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natural rubber, including “Suppliers’ Day” events promoting the exchange of information with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natural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rubber farmers, joint research with local universities aimed at improving the quality and productivity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of natural rubber, and the promotion of more widespread use of agroforestry to enable natural rubber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farmers to secure more stable income.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7C7DB17F" w14:textId="77777777" w:rsidR="001F6392" w:rsidRDefault="001F6392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173BE5F2" w:rsidR="005024CF" w:rsidRDefault="00476CEE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The sustainability initiatives included in Yokohama Transformation 2023 (YX2023), </w:t>
      </w:r>
      <w:r w:rsidR="00DB244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for fiscal years 2021–2023, are based on the concept of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>“Caring for the Future.” By implementing sustainability initiatives under this concept, Y</w:t>
      </w:r>
      <w:r w:rsidR="00087FC6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is </w:t>
      </w:r>
      <w:r w:rsidR="00087FC6" w:rsidRPr="00476CEE">
        <w:rPr>
          <w:rStyle w:val="markedcontent"/>
          <w:rFonts w:ascii="Arial" w:hAnsi="Arial" w:cs="Arial"/>
          <w:sz w:val="22"/>
          <w:szCs w:val="22"/>
          <w:lang w:val="en-GB"/>
        </w:rPr>
        <w:t>endeavouring</w:t>
      </w:r>
      <w:r w:rsidRPr="00476CEE">
        <w:rPr>
          <w:rStyle w:val="markedcontent"/>
          <w:rFonts w:ascii="Arial" w:hAnsi="Arial" w:cs="Arial"/>
          <w:sz w:val="22"/>
          <w:szCs w:val="22"/>
          <w:lang w:val="en-GB"/>
        </w:rPr>
        <w:t xml:space="preserve"> to help resolve social issues through its business activit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ies.</w:t>
      </w:r>
    </w:p>
    <w:p w14:paraId="1F460CEC" w14:textId="5D6A7CB8" w:rsidR="001F6392" w:rsidRDefault="001F6392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93F8784" w14:textId="35D05BF8" w:rsidR="001F6392" w:rsidRDefault="00BA663F" w:rsidP="00476CEE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lastRenderedPageBreak/>
        <w:drawing>
          <wp:inline distT="0" distB="0" distL="0" distR="0" wp14:anchorId="796F5B16" wp14:editId="24995B3B">
            <wp:extent cx="2793600" cy="18000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485">
        <w:rPr>
          <w:rStyle w:val="markedcontent"/>
          <w:rFonts w:ascii="Arial" w:hAnsi="Arial" w:cs="Arial"/>
          <w:sz w:val="22"/>
          <w:szCs w:val="22"/>
          <w:lang w:val="en-GB"/>
        </w:rPr>
        <w:t xml:space="preserve">  </w:t>
      </w:r>
      <w:r w:rsidR="00EF6485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778F7AA0" wp14:editId="7532C999">
            <wp:extent cx="2872800" cy="18000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1063" w14:textId="5A1FA31A" w:rsidR="00EF6485" w:rsidRPr="00EF6485" w:rsidRDefault="00EF6485" w:rsidP="00A343CD">
      <w:pPr>
        <w:ind w:left="3969" w:hanging="3969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EF648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 scene of a tapping contest at the seminar event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</w:t>
      </w:r>
      <w:r w:rsidRPr="00EF648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 scene of a quiz on agricultural technology at the</w:t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             </w:t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Pr="00EF648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seminar</w:t>
      </w:r>
      <w:r w:rsidR="00A343C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EF648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event</w:t>
      </w:r>
    </w:p>
    <w:sectPr w:rsidR="00EF6485" w:rsidRPr="00EF6485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148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FC93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87FC6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2B67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1F6392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76CEE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0730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21FB2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3421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43C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A663F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447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485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13</cp:revision>
  <cp:lastPrinted>2014-08-28T15:02:00Z</cp:lastPrinted>
  <dcterms:created xsi:type="dcterms:W3CDTF">2022-12-09T07:00:00Z</dcterms:created>
  <dcterms:modified xsi:type="dcterms:W3CDTF">2022-12-09T07:19:00Z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